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9" w:lineRule="atLeast"/>
        <w:jc w:val="center"/>
        <w:rPr>
          <w:rFonts w:hint="eastAsia"/>
          <w:color w:val="333333"/>
          <w:sz w:val="27"/>
          <w:szCs w:val="27"/>
          <w:shd w:val="clear" w:color="auto" w:fill="FFFFFF"/>
        </w:rPr>
      </w:pPr>
      <w:bookmarkStart w:id="0" w:name="_GoBack"/>
      <w:r>
        <w:rPr>
          <w:rFonts w:hint="eastAsia"/>
          <w:color w:val="333333"/>
          <w:sz w:val="27"/>
          <w:szCs w:val="27"/>
          <w:shd w:val="clear" w:color="auto" w:fill="FFFFFF"/>
        </w:rPr>
        <w:t>附件：经济与管理学院分党校第十一期发展对象培训班安排表</w:t>
      </w:r>
    </w:p>
    <w:bookmarkEnd w:id="0"/>
    <w:p>
      <w:pPr>
        <w:spacing w:line="600" w:lineRule="exact"/>
        <w:rPr>
          <w:rFonts w:hint="eastAsia" w:ascii="Times New Roman" w:hAnsi="Times New Roman" w:eastAsia="黑体"/>
          <w:color w:val="000000" w:themeColor="text1"/>
          <w:sz w:val="30"/>
          <w:szCs w:val="30"/>
        </w:rPr>
      </w:pPr>
    </w:p>
    <w:tbl>
      <w:tblPr>
        <w:tblStyle w:val="8"/>
        <w:tblW w:w="5282" w:type="pct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1088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</w:rPr>
              <w:t>发展对象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主讲人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</w:rPr>
              <w:t>（一）学习党的二十大精神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奋力谱写全面建设社会主义现代化国家崭新篇章——党的二十大报告精神导学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周文彰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认真学习二十大报告 全面贯彻二十大精神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  春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  <w:t>（二）政治理论教育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党的创新理论的新境界新飞跃——读懂读好《习近平谈治国理政》第四卷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胡  敏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习近平新时代中国特色社会主义思想：马克思主义中国化新的飞跃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胡  敏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习近平新时代中国特色社会主义思想的精髓要义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郇  雷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重温我们党关于历史问题的两个决议，坚定维护党的集中统一领导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朱谐汉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学习贯彻宪法及宪法修正案，全面依法治国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任  进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中国民法典的整体性解读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薛  军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学习习近平外交思想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路克利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中国人民大学习近平新时代中国特色社会主义思想研究院研究员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坚持中国特色社会主义法治道路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王敬波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对外经贸大学副校长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弘扬中华民族精神，铸牢中华民族共同体意识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  军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中央民族大学中国民族理论与民族政策研究院副院长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  <w:t>（三）党史教育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中国共产党的精神之源——坚持真理、坚守理想，践行初心、担当使命，不怕牺牲、英勇斗争，对党忠诚、不负人民的伟大建党精神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胡  敏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伟大梦想：实现中华民族伟大复兴中国梦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黄相怀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党的百年奋斗重大成就：领导人民浴血奋战、百折不挠，创造了新民主主义革命的伟大成就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秦  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中宣部全国宣传干部学院教研部副主任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党的百年奋斗重大成就：领导人民自力更生、发愤图强，创造了社会主义革命和建设的伟大成就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党的百年奋斗重大成就：领导人民解放思想、锐意进取，创造了改革开放和社会主义现代化建设的伟大成就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党的百年奋斗重大成就：领导人民自信自强、守正创新，创造了新时代中国特色社会主义的伟大成就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中国特色社会主义制度如何行稳致远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汪亭友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中国人民大学马克思主义学院教授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  <w:t>（四）党章党规党纪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什么是党章？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微  课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为什么要学习党章？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微  课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2019-2023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年全国党员教育培训工作规划》学习解读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  春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新版《中国共产党纪律处分条例》解读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  春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</w:rPr>
              <w:t>发展对象的确定和考察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党员发展对象应知应会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元跃旗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中共北京市委党校（北京行政学院）副教授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确定发展对象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邹丽春</w:t>
            </w:r>
          </w:p>
        </w:tc>
        <w:tc>
          <w:tcPr>
            <w:tcW w:w="2008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北京师范大学党委组织部组织员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报上级党委备案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确定入党介绍人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进行政治审查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开展集中培训</w:t>
            </w:r>
          </w:p>
        </w:tc>
        <w:tc>
          <w:tcPr>
            <w:tcW w:w="6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</w:rPr>
              <w:t>（六）理想信念教育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理想信念是共产党人精神之“钙”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周  莉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东北大学党校副校长、副教授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如何构筑新时代中国精神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  俭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中宣部原政研所研究员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在中华民族伟大复兴征程中唱响青春之我 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吴  庆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中央团校（中国青年政治学院）教授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弘扬伟大建党精神  赓续精神谱系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王炳林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北京师范大学中共党史党建研究院院长、教授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坚定政治信仰，勇于担当作为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张希贤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</w:rPr>
              <w:t>（七）榜样示范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毛泽东对实现中华民族伟大复兴的奠基性贡献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李佑新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湘潭大学毛泽东思想研究中心主任、教授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黄大发：当代愚公 绝壁天渠映初心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专题片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祁发宝：卫国戍边 英雄团长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专题片</w:t>
            </w:r>
          </w:p>
        </w:tc>
        <w:tc>
          <w:tcPr>
            <w:tcW w:w="2008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ind w:left="319" w:right="105" w:rightChars="50" w:hanging="319" w:hangingChars="152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6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2YTJiZWRkMmM4NWU5YzgyYTg1NTkzMDlmYzNiNDIifQ=="/>
  </w:docVars>
  <w:rsids>
    <w:rsidRoot w:val="0D2B1DA6"/>
    <w:rsid w:val="003B2511"/>
    <w:rsid w:val="00C515ED"/>
    <w:rsid w:val="00CB4D3E"/>
    <w:rsid w:val="02902B98"/>
    <w:rsid w:val="09ED17A0"/>
    <w:rsid w:val="0D2B1DA6"/>
    <w:rsid w:val="176C0608"/>
    <w:rsid w:val="1BF83E23"/>
    <w:rsid w:val="2EE828EB"/>
    <w:rsid w:val="35485D49"/>
    <w:rsid w:val="37F55D44"/>
    <w:rsid w:val="45E264F3"/>
    <w:rsid w:val="4B1B666E"/>
    <w:rsid w:val="5C874BE8"/>
    <w:rsid w:val="670E3919"/>
    <w:rsid w:val="7DB63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font61"/>
    <w:basedOn w:val="9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1"/>
    <w:basedOn w:val="9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paragraph" w:customStyle="1" w:styleId="17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character" w:customStyle="1" w:styleId="18">
    <w:name w:val="font0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1">
    <w:name w:val="15"/>
    <w:basedOn w:val="9"/>
    <w:qFormat/>
    <w:uiPriority w:val="0"/>
  </w:style>
  <w:style w:type="character" w:customStyle="1" w:styleId="2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3020</Words>
  <Characters>3150</Characters>
  <Lines>23</Lines>
  <Paragraphs>6</Paragraphs>
  <TotalTime>249</TotalTime>
  <ScaleCrop>false</ScaleCrop>
  <LinksUpToDate>false</LinksUpToDate>
  <CharactersWithSpaces>3193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2022-11-11T02:11:00Z</dcterms:created>
  <dc:creator>永不放弃</dc:creator>
  <cp:lastModifiedBy>梦琦</cp:lastModifiedBy>
  <dcterms:modified xsi:type="dcterms:W3CDTF">2022-11-11T06:57:53Z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72C619EC7C454E9795D9C6081B309453</vt:lpwstr>
  </property>
</Properties>
</file>